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5C8C7" w14:textId="77777777" w:rsidR="004475FC" w:rsidRDefault="003D106D">
      <w:pPr>
        <w:pStyle w:val="Tytu"/>
      </w:pPr>
      <w:r>
        <w:t>REGULAMIN</w:t>
      </w:r>
    </w:p>
    <w:p w14:paraId="7E842D9E" w14:textId="77777777" w:rsidR="004475FC" w:rsidRDefault="003D106D">
      <w:pPr>
        <w:pStyle w:val="Podtytu"/>
      </w:pPr>
      <w:r>
        <w:t>IV POWIATOWEGO PRZEGLĄDU ZESPOŁÓW ARTYSTYCZNYCH – HAŃSK PIERWSZY 2026</w:t>
      </w:r>
    </w:p>
    <w:p w14:paraId="2FD6F080" w14:textId="77777777" w:rsidR="004475FC" w:rsidRDefault="003D106D">
      <w:pPr>
        <w:spacing w:after="160"/>
      </w:pPr>
      <w:r>
        <w:t>IV Powiatowy Przegląd Zespołów Artystycznych odbędzie się w dniu 21.11.2026 o godz. 15:00 w Gminnym Ośrodku Kultury w Hańsku.</w:t>
      </w:r>
    </w:p>
    <w:p w14:paraId="63D519C4" w14:textId="77777777" w:rsidR="004475FC" w:rsidRDefault="003D106D">
      <w:pPr>
        <w:pStyle w:val="Nagwek2"/>
      </w:pPr>
      <w:r>
        <w:t>Cele Przeglądu</w:t>
      </w:r>
    </w:p>
    <w:p w14:paraId="014A680C" w14:textId="77777777" w:rsidR="004475FC" w:rsidRDefault="003D106D">
      <w:pPr>
        <w:numPr>
          <w:ilvl w:val="0"/>
          <w:numId w:val="10"/>
        </w:numPr>
        <w:spacing w:after="60"/>
      </w:pPr>
      <w:r>
        <w:t>odszukanie i przypomnienie dawnych obrzędów i zwyczajów ludowych, starych pieśni i ginących zawodów,</w:t>
      </w:r>
    </w:p>
    <w:p w14:paraId="1E8640CB" w14:textId="77777777" w:rsidR="004475FC" w:rsidRDefault="003D106D">
      <w:pPr>
        <w:numPr>
          <w:ilvl w:val="0"/>
          <w:numId w:val="10"/>
        </w:numPr>
        <w:spacing w:after="60"/>
      </w:pPr>
      <w:r>
        <w:t>przypomnienie pieśni, przyśpiewek i marszów weselnych jako głównych elementów tradycji weselnych i rozpowszechnienie ich poprzez prezentację,</w:t>
      </w:r>
    </w:p>
    <w:p w14:paraId="1F707A93" w14:textId="77777777" w:rsidR="004475FC" w:rsidRDefault="003D106D">
      <w:pPr>
        <w:numPr>
          <w:ilvl w:val="0"/>
          <w:numId w:val="10"/>
        </w:numPr>
        <w:spacing w:after="60"/>
      </w:pPr>
      <w:r>
        <w:t>promocja tradycyjnych wypieków weselnych jako produktu regionalnego,</w:t>
      </w:r>
    </w:p>
    <w:p w14:paraId="391B1BAD" w14:textId="77777777" w:rsidR="004475FC" w:rsidRDefault="003D106D">
      <w:pPr>
        <w:numPr>
          <w:ilvl w:val="0"/>
          <w:numId w:val="10"/>
        </w:numPr>
        <w:spacing w:after="60"/>
      </w:pPr>
      <w:r>
        <w:t>reaktywacja amatorskiego ruchu teatralnego na terenie powiatu włodawskiego.</w:t>
      </w:r>
    </w:p>
    <w:p w14:paraId="60019BDE" w14:textId="77777777" w:rsidR="004475FC" w:rsidRDefault="003D106D">
      <w:pPr>
        <w:pStyle w:val="Nagwek2"/>
      </w:pPr>
      <w:r>
        <w:t>Warunki uczestnictwa i kategorie</w:t>
      </w:r>
    </w:p>
    <w:p w14:paraId="38C577E7" w14:textId="77777777" w:rsidR="004475FC" w:rsidRDefault="003D106D">
      <w:pPr>
        <w:numPr>
          <w:ilvl w:val="0"/>
          <w:numId w:val="10"/>
        </w:numPr>
        <w:spacing w:after="80"/>
      </w:pPr>
      <w:r>
        <w:t>Zespoły Obrzędowe, które w widowiskach mogą zaprezentować: zwyczaje adwentowe /św. Andrzeja, św. Łucji/, wigilijne, bożonarodzeniowe, herody, jasełka, święte wieczory, chodzenie z gwiazdą, szopką, zwyczaje noworoczne i karnawałowe, związane z obchodami Matki Boskiej Gromnicznej, zapustami, Środą Popielcową i śródpościem, Wielkim Postem, Wielkanocą, Zielonymi Świątkami, Bożym Ciałem, Matki Boskiej Zielnej, zwyczaje związane z sianokosami, żniwami, Dożynki, pierzak, prządki, obróbka lnu i inne. Zespoły mogą z</w:t>
      </w:r>
      <w:r>
        <w:t>aprezentować obrzędy i zwyczaje rodzinne np. narodzinowe i weselne w wybranym fragmencie.</w:t>
      </w:r>
    </w:p>
    <w:p w14:paraId="0A95B41C" w14:textId="77777777" w:rsidR="004475FC" w:rsidRDefault="003D106D">
      <w:pPr>
        <w:numPr>
          <w:ilvl w:val="1"/>
          <w:numId w:val="10"/>
        </w:numPr>
        <w:spacing w:after="60"/>
      </w:pPr>
      <w:r>
        <w:t>widowisko powinno trwać nie krócej niż 25 min i nie dłużej jak 45 min,</w:t>
      </w:r>
    </w:p>
    <w:p w14:paraId="2C2B4BD2" w14:textId="77777777" w:rsidR="004475FC" w:rsidRDefault="003D106D">
      <w:pPr>
        <w:numPr>
          <w:ilvl w:val="1"/>
          <w:numId w:val="10"/>
        </w:numPr>
        <w:spacing w:after="60"/>
      </w:pPr>
      <w:r>
        <w:t>w ocenie widowiska szczególną uwagę zwracamy na: mówienie miejscową gwarą, prezentację autentycznych pieśni. Rekwizyty i stroje muszą się wiązać z treścią widowiska i czasem w jakim rozgrywa się akcja.</w:t>
      </w:r>
    </w:p>
    <w:p w14:paraId="1408933B" w14:textId="77777777" w:rsidR="004475FC" w:rsidRDefault="003D106D">
      <w:pPr>
        <w:numPr>
          <w:ilvl w:val="0"/>
          <w:numId w:val="10"/>
        </w:numPr>
        <w:spacing w:after="80"/>
      </w:pPr>
      <w:r>
        <w:t>Teatry wiejskie, którego członkowie mają powyżej 16 roku życia, przedstawiają dowolną sztukę teatralną, której czas trwania prezentacji nie przekracza 45 min. W ocenie przedstawienia zwracamy uwagę na dobór repertuaru, grę sceniczną i kulturę słowa.</w:t>
      </w:r>
    </w:p>
    <w:p w14:paraId="2804ED0A" w14:textId="77777777" w:rsidR="004475FC" w:rsidRDefault="003D106D">
      <w:pPr>
        <w:numPr>
          <w:ilvl w:val="0"/>
          <w:numId w:val="10"/>
        </w:numPr>
        <w:spacing w:after="80"/>
      </w:pPr>
      <w:r>
        <w:t>Kabarety wiejskie, którego członkowie mają powyżej 16 roku życia, mogą zaprezentować dowolny repertuar, którego czas trwania nie przekroczy 30 min.</w:t>
      </w:r>
    </w:p>
    <w:p w14:paraId="600671B9" w14:textId="77777777" w:rsidR="004475FC" w:rsidRDefault="003D106D">
      <w:pPr>
        <w:numPr>
          <w:ilvl w:val="1"/>
          <w:numId w:val="10"/>
        </w:numPr>
        <w:spacing w:after="60"/>
      </w:pPr>
      <w:r>
        <w:t>W ocenie prezentacji zwracamy uwagę na dobór repertuaru, grę sceniczną i kulturę słowa.</w:t>
      </w:r>
    </w:p>
    <w:p w14:paraId="72459EEB" w14:textId="77777777" w:rsidR="004475FC" w:rsidRDefault="003D106D">
      <w:pPr>
        <w:numPr>
          <w:ilvl w:val="0"/>
          <w:numId w:val="10"/>
        </w:numPr>
        <w:spacing w:after="80"/>
      </w:pPr>
      <w:r>
        <w:t>Zespoły śpiewacze (z akompaniamentem lub bez) prezentują dwie pieśni weselne lub trzy przyśpiewki weselne, których czas wykonania nie przekroczy 10 min.</w:t>
      </w:r>
    </w:p>
    <w:p w14:paraId="73EE9FF8" w14:textId="77777777" w:rsidR="004475FC" w:rsidRDefault="003D106D">
      <w:pPr>
        <w:numPr>
          <w:ilvl w:val="0"/>
          <w:numId w:val="10"/>
        </w:numPr>
        <w:spacing w:after="80"/>
      </w:pPr>
      <w:r>
        <w:t>Kapele ludowe prezentują dwa marsze weselne, czas prezentacji 10 min. Przy ocenie zwracamy uwagę na instrumenty: harmonia lub akordeon, skrzypce, bębenek, klarnet, banjo i instrumenty pasterskie występujące na terenie powiatu włodawskiego.</w:t>
      </w:r>
    </w:p>
    <w:p w14:paraId="247BDE03" w14:textId="77777777" w:rsidR="004475FC" w:rsidRDefault="003D106D">
      <w:pPr>
        <w:spacing w:before="120"/>
      </w:pPr>
      <w:r>
        <w:t>Koła Gospodyń Wiejskich, Zespoły Obrzędowe, Zespoły Śpiewacze mogą wziąć udział w Konkursie „Obrzędowe wypieki weselne”. Uczestnicy przygotowują do Konkursu jeden obrzędowy wypiek weselny np. chleb, kołacz, korowaj, sękacz i inne występujące na terenie powiatu włodawskiego. Przy ocenie zwracamy uwagę na zgodność z regionem, estetykę, smak, zdobienia i ogólny wygląd prezentowanego wypieku. Obrzędowe wypieki weselne należy dostarczyć do Gminnego Ośrodka Kultury w Hańsku w dniu 21.11.2026 r. do godz. 14:00.</w:t>
      </w:r>
    </w:p>
    <w:p w14:paraId="3F00E8BD" w14:textId="77777777" w:rsidR="004475FC" w:rsidRDefault="003D106D">
      <w:pPr>
        <w:spacing w:before="120"/>
      </w:pPr>
      <w:r>
        <w:lastRenderedPageBreak/>
        <w:t>Przegląd ma charakter Konkursu, w którym jury przyzna nagrody pieniężne z podziałem na kategorie.</w:t>
      </w:r>
      <w:r>
        <w:t xml:space="preserve"> Wyniki Konkursu ogłaszane są z podaniem nazwy zespołu i miejscowości. Nagrody przekazywane są zespołowi lub podmiotowi, przy którym zespół działa (np. KGW, stowarzyszeniu, instytucji), przelewem na wskazany rachunek bankowy lub w inny sposób ustalony przez Organizatora. Dane niezbędne do wypłaty nagrody (nazwa odbiorcy, numer rachunku, a w przypadku nagrody wypłacanej osobie fizycznej – dane wymagane przepisami podatkowymi) Organizator zbiera wyłącznie od laureatów, po ogłoszeniu wyników.</w:t>
      </w:r>
      <w:r>
        <w:t xml:space="preserve"> Zasady przekazania nagrodzonych prac lub wypieków określa Organizator odrębnie, z uwzględnieniem praw twórców. Zasady fotografowania i nagrywania Przeglądu oraz rozpowszechniania wizerunku uczestników określa rozdział „Zasady ochrony danych i dokumentowania wydarzenia”. Po rozstrzygnięciu Konkursu odbędzie się degustacja Obrzędowych wypieków weselnych podczas IV Powiatowego Przeglądu Zespołów Artystycznych. W sprawach spornych ostateczną decyzję podejmuje Organizator, od którego nie przysługuje odwołanie.</w:t>
      </w:r>
    </w:p>
    <w:p w14:paraId="20ED77B9" w14:textId="77777777" w:rsidR="004475FC" w:rsidRDefault="003D106D">
      <w:pPr>
        <w:pStyle w:val="Nagwek2"/>
      </w:pPr>
      <w:r>
        <w:t>Uwagi końcowe</w:t>
      </w:r>
    </w:p>
    <w:p w14:paraId="5116BE9C" w14:textId="77777777" w:rsidR="004475FC" w:rsidRDefault="003D106D">
      <w:pPr>
        <w:spacing w:after="60"/>
      </w:pPr>
      <w:r>
        <w:t>Uczestnicy Przeglądu i Konkursu zgłaszają swój udział na kartach zgłoszenia do dnia 16.11.2026 r. listownie na adres:</w:t>
      </w:r>
    </w:p>
    <w:p w14:paraId="709B4EAB" w14:textId="77777777" w:rsidR="004475FC" w:rsidRDefault="003D106D">
      <w:pPr>
        <w:spacing w:after="0"/>
        <w:ind w:left="567"/>
        <w:jc w:val="left"/>
      </w:pPr>
      <w:r>
        <w:t>Gminny Ośrodek Kultury w Hańsku ul. Osiedlowa 6,</w:t>
      </w:r>
    </w:p>
    <w:p w14:paraId="1125FAD3" w14:textId="77777777" w:rsidR="004475FC" w:rsidRDefault="003D106D">
      <w:pPr>
        <w:ind w:left="567"/>
        <w:jc w:val="left"/>
      </w:pPr>
      <w:r>
        <w:t>22-235 Hańsk Pierwszy</w:t>
      </w:r>
    </w:p>
    <w:p w14:paraId="79141823" w14:textId="77777777" w:rsidR="004475FC" w:rsidRDefault="003D106D">
      <w:pPr>
        <w:jc w:val="left"/>
      </w:pPr>
      <w:r>
        <w:t>bądź elektronicznie na adres: gok.hansk@wp.pl</w:t>
      </w:r>
    </w:p>
    <w:p w14:paraId="12EEEC5B" w14:textId="77777777" w:rsidR="004475FC" w:rsidRDefault="003D106D">
      <w:r>
        <w:t>Organizatorzy zapewniają Zespołom i uczestnikom Konkursu poczęstunek. Uczestnicy Przeglądu i Konkursu przyjeżdżają na koszt własny.</w:t>
      </w:r>
    </w:p>
    <w:p w14:paraId="72EE196D" w14:textId="77777777" w:rsidR="004475FC" w:rsidRDefault="003D106D">
      <w:pPr>
        <w:pStyle w:val="Nagwek2"/>
      </w:pPr>
      <w:r>
        <w:t>Organizatorzy</w:t>
      </w:r>
    </w:p>
    <w:p w14:paraId="3352578B" w14:textId="77777777" w:rsidR="004475FC" w:rsidRDefault="003D106D">
      <w:pPr>
        <w:spacing w:after="0"/>
        <w:ind w:left="567"/>
        <w:jc w:val="left"/>
      </w:pPr>
      <w:r>
        <w:t>Wójt Gminy Hańsk</w:t>
      </w:r>
    </w:p>
    <w:p w14:paraId="78F54D87" w14:textId="77777777" w:rsidR="004475FC" w:rsidRDefault="003D106D">
      <w:pPr>
        <w:spacing w:after="0"/>
        <w:ind w:left="567"/>
        <w:jc w:val="left"/>
      </w:pPr>
      <w:r>
        <w:t>Gminny Ośrodek Kultury w Hańsku</w:t>
      </w:r>
    </w:p>
    <w:p w14:paraId="75AC32AB" w14:textId="77777777" w:rsidR="004475FC" w:rsidRDefault="003D106D">
      <w:pPr>
        <w:ind w:left="567"/>
        <w:jc w:val="left"/>
      </w:pPr>
      <w:r>
        <w:t>Starostwo Powiatowe we Włodawie</w:t>
      </w:r>
    </w:p>
    <w:p w14:paraId="6A20C96C" w14:textId="77777777" w:rsidR="004475FC" w:rsidRDefault="003D106D">
      <w:pPr>
        <w:pStyle w:val="Nagwek1"/>
      </w:pPr>
      <w:r>
        <w:t>Zasady ochrony danych i dokumentowania wydarzenia</w:t>
      </w:r>
    </w:p>
    <w:p w14:paraId="06DC2574" w14:textId="77777777" w:rsidR="004475FC" w:rsidRDefault="003D106D">
      <w:r>
        <w:t>Dane osobowe wskazane w karcie zgłoszenia wykorzystywane są w zakresie niezbędnym do przyjęcia zgłoszenia, kontaktu z przedstawicielem zespołu, przygotowania programu i realizacji Przeglądu, oceny występów oraz rozliczenia nagród. Szczegółowe informacje zawiera klauzula informacyjna poniżej.</w:t>
      </w:r>
      <w:r>
        <w:t xml:space="preserve"> Organizator stosuje zasadę minimalizacji danych: w karcie zgłoszenia nie zbiera się danych identyfikacyjnych ani adresowych poszczególnych członków zespołów (np. numerów PESEL, dat urodzenia, adresów zamieszkania).</w:t>
      </w:r>
    </w:p>
    <w:p w14:paraId="46959839" w14:textId="77777777" w:rsidR="004475FC" w:rsidRDefault="003D106D">
      <w:r>
        <w:t>Akceptacja Regulaminu nie stanowi zgody na dodatkowe przetwarzanie danych ani zezwolenia na rozpowszechnianie wizerunku. Zgody promocyjne, gdy są wymagane, wyrażane są odrębnie, dobrowolnie i mogą zostać wycofane.</w:t>
      </w:r>
    </w:p>
    <w:p w14:paraId="73FDAEAD" w14:textId="77777777" w:rsidR="004475FC" w:rsidRDefault="003D106D">
      <w:r>
        <w:t xml:space="preserve">Przed przekazaniem danych innych członków zespołu osoba zgłaszająca powinna zostać upoważniona do dokonania zgłoszenia oraz przekazać tym osobom klauzulę informacyjną. </w:t>
      </w:r>
      <w:r>
        <w:t xml:space="preserve">Udział osoby niepełnoletniej w Przeglądzie wymaga zgody jej przedstawiciela ustawowego (rodzica lub opiekuna prawnego), wyrażonej w oświadczeniu stanowiącym załącznik do karty zgłoszenia. W tym samym oświadczeniu przedstawiciel ustawowy może – dobrowolnie – zezwolić na rozpowszechnianie indywidualnego wizerunku osoby niepełnoletniej; jeżeli osoba niepełnoletnia ukończyła 13 lat, oświadczenie podpisuje również ona. </w:t>
      </w:r>
      <w:r>
        <w:lastRenderedPageBreak/>
        <w:t>Osoba zgłaszająca zespół przekazuje oświadczenia Organizatorowi najpóźniej w dniu Przeglądu, p</w:t>
      </w:r>
      <w:r>
        <w:t>rzed występem.</w:t>
      </w:r>
    </w:p>
    <w:p w14:paraId="6623193B" w14:textId="77777777" w:rsidR="004475FC" w:rsidRDefault="003D106D">
      <w:r>
        <w:t>Fotografowanie i nagrywanie wydarzenia nie oznacza automatycznego prawa do publikacji indywidualnego wizerunku każdego uczestnika. Podstawę publikacji należy ustalić stosownie do charakteru zdjęcia lub nagrania, zakresu publikacji oraz art. 81 ustawy o prawie autorskim i prawach pokrewnych.</w:t>
      </w:r>
      <w:r>
        <w:t xml:space="preserve"> Bez odrębnego zezwolenia Organizator może rozpowszechniać zdjęcia i nagrania, na których wizerunek uczestnika stanowi jedynie szczegół całości, takiej jak publiczna impreza (art. 81 ust. 2 pkt 2 ustawy) – w szczególności ujęcia ogólne sali, sceny i widowni – w celu relacjonowania Przeglądu i informowania o działalności GOK. Portrety, zbliżenia oraz materiały, w których wizerunek konkretnej osoby jest głównym elementem, publikowane są wyłącznie na podstawie zezwolenia tej osoby, a w przypadku osoby niepełno</w:t>
      </w:r>
      <w:r>
        <w:t>letniej – jej przedstawiciela ustawowego. O fotografowaniu i nagrywaniu Organizator informuje uczestników i publiczność także ogłoszeniem w miejscu Przeglądu. Fotograf działający na zlecenie Organizatora przetwarza materiały na podstawie upoważnienia lub umowy powierzenia przetwarzania danych. Zdjęcia i nagrania wykonywane przez media lub osoby prywatne nie są przetwarzane przez Organizatora.</w:t>
      </w:r>
    </w:p>
    <w:p w14:paraId="6B8BEC55" w14:textId="77777777" w:rsidR="004475FC" w:rsidRDefault="003D106D">
      <w:pPr>
        <w:pStyle w:val="Nagwek1"/>
      </w:pPr>
      <w:r>
        <w:t>Klauzula informacyjna – art. 13 i 14 RODO</w:t>
      </w:r>
    </w:p>
    <w:p w14:paraId="71F67B67" w14:textId="672E10D6" w:rsidR="004475FC" w:rsidRDefault="003D106D">
      <w:r>
        <w:rPr>
          <w:b/>
        </w:rPr>
        <w:t xml:space="preserve">Administrator. </w:t>
      </w:r>
      <w:r>
        <w:t xml:space="preserve">Administratorem danych </w:t>
      </w:r>
      <w:r>
        <w:t xml:space="preserve">w związku ze zgłoszeniem jest Gminny Ośrodek Kultury w Hańsku, ul. Osiedlowa 6, 22-235 Hańsk Pierwszy. </w:t>
      </w:r>
      <w:r>
        <w:t>Współorganizatorzy – Gmina Hańsk i Powiat Włodawski – nie otrzymują danych z kart zgłoszeń. W przypadku publikacji materiałów z Przeglądu na stronach www.hansk.pl lub powiatwlodawski.pl administratorem danych w zakresie tej publikacji jest odpowiednio Gmina Hańsk albo Powiat Włodawski; dane kontaktowe ich inspektorów ochrony danych są dostępne na tych stronach.</w:t>
      </w:r>
    </w:p>
    <w:p w14:paraId="17E90872" w14:textId="7FB5C884" w:rsidR="004475FC" w:rsidRDefault="003D106D">
      <w:r>
        <w:rPr>
          <w:b/>
        </w:rPr>
        <w:t xml:space="preserve">Kontakt do IOD. </w:t>
      </w:r>
      <w:r>
        <w:t xml:space="preserve">W sprawach związanych z ochroną danych można kontaktować się pod adresem: </w:t>
      </w:r>
      <w:hyperlink r:id="rId6" w:history="1">
        <w:r w:rsidR="00A30819" w:rsidRPr="002444F3">
          <w:rPr>
            <w:rStyle w:val="Hipercze"/>
          </w:rPr>
          <w:t>agata.szwed@asprotectis.pl</w:t>
        </w:r>
      </w:hyperlink>
      <w:r w:rsidR="00A30819">
        <w:t xml:space="preserve"> </w:t>
      </w:r>
      <w:r>
        <w:t>lub pisemnie na adres siedziby Administratora z dopiskiem „IOD”.</w:t>
      </w:r>
    </w:p>
    <w:p w14:paraId="61F5B1CA" w14:textId="77777777" w:rsidR="004475FC" w:rsidRDefault="003D106D">
      <w:r>
        <w:rPr>
          <w:b/>
        </w:rPr>
        <w:t xml:space="preserve">Cele i podstawy prawne. </w:t>
      </w:r>
      <w:r>
        <w:t>Przyjęcie zgłoszenia, kontakt z przedstawicielem zespołu i przeprowadzenie Przeglądu: art. 6 ust. 1 lit. e RODO w związku z realizacją zadań w zakresie działalności kulturalnej, określonych w ustawie o organizowaniu i prowadzeniu działalności kulturalnej oraz statucie GOK. Wypłata i rozliczenie nagród oraz prowadzenie dokumentacji księgowej: art. 6 ust. 1 lit. c RODO w zakresie obowiązków wynikających z przepisów podatkowych, rachunkowych i archiwalnych, jeżeli mają zastosowanie. Dodatkowa publikacja imieni</w:t>
      </w:r>
      <w:r>
        <w:t>a, nazwiska lub indywidualnego wizerunku w celach promocyjnych, gdy wymaga zgody: art. 6 ust. 1 lit. a RODO; publikacja wizerunku wymaga również uwzględnienia art. 81 prawa autorskiego.</w:t>
      </w:r>
      <w:r>
        <w:t xml:space="preserve"> Relacjonowanie i dokumentowanie przebiegu Przeglądu (ujęcia ogólne, kronika GOK, informacja o wynikach z podaniem nazw zespołów) oraz archiwizacja dokumentacji wydarzenia: art. 6 ust. 1 lit. e RODO w związku z art. 81 ust. 2 pkt 2 prawa autorskiego.</w:t>
      </w:r>
    </w:p>
    <w:p w14:paraId="29B26AF3" w14:textId="77777777" w:rsidR="004475FC" w:rsidRDefault="003D106D">
      <w:r>
        <w:rPr>
          <w:b/>
        </w:rPr>
        <w:t xml:space="preserve">Kategorie i źródło danych. </w:t>
      </w:r>
      <w:r>
        <w:t>Dane osoby zgłaszającej (imię i nazwisko, telefon, adres e-mail) pochodzą bezpośrednio od niej. Dane autora scenariusza, reżysera i scenografa (imię i nazwisko, funkcja) Organizator otrzymuje od osoby zgłaszającej zespół w karcie zgłoszenia. Dane osób niepełnoletnich i ich przedstawicieli ustawowych (imię i nazwisko, podpis) pochodzą z oświadczeń przekazanych przez osobę zgłaszającą.</w:t>
      </w:r>
    </w:p>
    <w:p w14:paraId="3CBDBA94" w14:textId="77777777" w:rsidR="004475FC" w:rsidRDefault="003D106D">
      <w:r>
        <w:rPr>
          <w:b/>
        </w:rPr>
        <w:t xml:space="preserve">Odbiorcy. </w:t>
      </w:r>
      <w:r>
        <w:t>Dane mogą otrzymać osoby upoważnione przez GOK, członkowie jury w niezbędnym zakresie</w:t>
      </w:r>
      <w:r>
        <w:t xml:space="preserve"> (zobowiązani do zachowania poufności), dostawcy usług IT i obsługi organizacyjnej, w tym dostawca poczty elektronicznej oraz fotograf działający na zlecenie GOK – na podstawie umów powierzenia przetwarzania danych, bank obsługujący wypłatę nagród, operatorzy pocztowi, a także uprawnione </w:t>
      </w:r>
      <w:r>
        <w:lastRenderedPageBreak/>
        <w:t xml:space="preserve">organy na podstawie przepisów prawa. Dane przeznaczone do publikacji będą dostępne odbiorcom wybranych kanałów. W przypadku publikacji na profilu Facebook GOK odbiorcą danych jest także Meta Platforms Ireland Ltd. </w:t>
      </w:r>
      <w:r>
        <w:t>Dane z kart zgłoszeń nie są przekazywane współorganizatorom, z wyjątkiem sytuacji, gdy jest to niezbędne do wypłaty nagrody finansowanej przez współorganizatora – wyłącznie w zakresie danych laureata potrzebnych do wypłaty. Imiona, nazwiska i wizerunki przekazywane są Gminie Hańsk lub Powiatowi Włodawskiemu wyłącznie w celu publikacji na ich stronach i tylko na podstawie zgody (zezwolenia).</w:t>
      </w:r>
    </w:p>
    <w:p w14:paraId="55AB927C" w14:textId="77777777" w:rsidR="004475FC" w:rsidRDefault="003D106D">
      <w:r>
        <w:rPr>
          <w:b/>
        </w:rPr>
        <w:t xml:space="preserve">Okres przechowywania. </w:t>
      </w:r>
      <w:r>
        <w:t>Dane zgłoszeniowe będą przechowywane przez okres niezbędny do organizacji, zakończenia i rozliczenia wydarzenia, a następnie przez czas wynikający z obowiązujących GOK zasad kancelaryjnych i archiwalnych. Dane związane z nagrodami i rozliczeniami – przez okres wynikający z odpowiednich przepisów (co do zasady 5 lat, licząc od początku roku następującego po roku obrotowym, w którym wypłacono nagrodę – art. 74 ust. 2 ustawy o rachunkowości)</w:t>
      </w:r>
      <w:r>
        <w:t>. Materiały publikowane na podstawie zgody – do jej wycofania lub zakończenia celu publikacji, z zastrzeżeniem ograniczeń dotyczących usuwania uprzednio rozpowszechnionych kopii. Oświadczenia zawierające zgody i zezwolenia przechowywane są przez okres publikacji materiałów, a następnie do upływu terminu przedawnienia ewentualnych roszczeń.</w:t>
      </w:r>
    </w:p>
    <w:p w14:paraId="321F8D44" w14:textId="77777777" w:rsidR="004475FC" w:rsidRDefault="003D106D">
      <w:r>
        <w:rPr>
          <w:b/>
        </w:rPr>
        <w:t xml:space="preserve">Prawa osób. </w:t>
      </w:r>
      <w:r>
        <w:t>Na zasadach określonych w RODO przysługuje prawo dostępu do danych, ich sprostowania, usunięcia i ograniczenia przetwarzania; w przypadku art. 6 ust. 1 lit. e RODO także prawo sprzeciwu. W zakresie danych przetwarzanych na podstawie zgody można ją wycofać w każdym czasie, bez wpływu na zgodność z prawem przetwarzania sprzed wycofania. Wycofanie zgody lub zezwolenia można zgłosić e-mailem lub pisemnie na adres GOK. Prawo przenoszenia danych przysługuje tylko po spełnieniu ustawowych przesłanek.</w:t>
      </w:r>
    </w:p>
    <w:p w14:paraId="7F7B4AF5" w14:textId="77777777" w:rsidR="004475FC" w:rsidRDefault="003D106D">
      <w:r>
        <w:rPr>
          <w:b/>
        </w:rPr>
        <w:t xml:space="preserve">Skarga. </w:t>
      </w:r>
      <w:r>
        <w:t>Przysługuje prawo wniesienia skargi do Prezesa Urzędu Ochrony Danych Osobowych.</w:t>
      </w:r>
    </w:p>
    <w:p w14:paraId="37F7905E" w14:textId="77777777" w:rsidR="004475FC" w:rsidRDefault="003D106D">
      <w:r>
        <w:rPr>
          <w:b/>
        </w:rPr>
        <w:t xml:space="preserve">Dobrowolność. </w:t>
      </w:r>
      <w:r>
        <w:t>Podanie danych potrzebnych do dokonania zgłoszenia jest niezbędne do udziału w Przeglądzie; bez nich obsługa zgłoszenia może nie być możliwa. Udzielenie dodatkowych zgód na publikację jest dobrowolne i nie wpływa na możliwość udziału.</w:t>
      </w:r>
    </w:p>
    <w:p w14:paraId="2F6A2743" w14:textId="77777777" w:rsidR="004475FC" w:rsidRDefault="003D106D">
      <w:r>
        <w:rPr>
          <w:b/>
        </w:rPr>
        <w:t xml:space="preserve">Transfer poza EOG. </w:t>
      </w:r>
      <w:r>
        <w:t xml:space="preserve">Publikacja w serwisach społecznościowych, w tym Facebook, może wiązać się z przetwarzaniem danych poza Europejskim Obszarem Gospodarczym zgodnie z zasadami danego dostawcy. </w:t>
      </w:r>
      <w:r>
        <w:t>Dostawcą serwisu Facebook w EOG jest Meta Platforms Ireland Ltd., która może przekazywać dane do Meta Platforms Inc. w USA na podstawie mechanizmów przewidzianych w rozdziale V RODO (decyzja Komisji Europejskiej stwierdzająca odpowiedni stopień ochrony – EU-US Data Privacy Framework – oraz standardowe klauzule umowne). W zakresie statystyk dotyczących osób odwiedzających profil (Page Insights) GOK i Meta Platforms Ireland Ltd. są współadministratorami; zasadnicza treść uzgodnień jest dostępna w serwisie Fac</w:t>
      </w:r>
      <w:r>
        <w:t>ebook. Poza tym dane nie są przekazywane do państw trzecich ani organizacji międzynarodowych.</w:t>
      </w:r>
    </w:p>
    <w:p w14:paraId="16710943" w14:textId="77777777" w:rsidR="004475FC" w:rsidRDefault="003D106D">
      <w:r>
        <w:rPr>
          <w:b/>
        </w:rPr>
        <w:t xml:space="preserve">Automatyzacja. </w:t>
      </w:r>
      <w:r>
        <w:t>Dane nie będą wykorzystywane do podejmowania decyzji wyłącznie w sposób zautomatyzowany, w tym do profilowania.</w:t>
      </w:r>
    </w:p>
    <w:sectPr w:rsidR="004475FC" w:rsidSect="00034616">
      <w:pgSz w:w="11906" w:h="16838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1B2C30"/>
    <w:multiLevelType w:val="hybridMultilevel"/>
    <w:tmpl w:val="0482558E"/>
    <w:lvl w:ilvl="0" w:tplc="78F85472">
      <w:start w:val="1"/>
      <w:numFmt w:val="bullet"/>
      <w:lvlText w:val="–"/>
      <w:lvlJc w:val="left"/>
      <w:pPr>
        <w:ind w:left="567" w:hanging="283"/>
      </w:pPr>
      <w:rPr>
        <w:rFonts w:ascii="Calibri" w:hAnsi="Calibri"/>
        <w:color w:val="8B1E1E"/>
      </w:rPr>
    </w:lvl>
    <w:lvl w:ilvl="1" w:tplc="096021C2">
      <w:start w:val="1"/>
      <w:numFmt w:val="bullet"/>
      <w:lvlText w:val="·"/>
      <w:lvlJc w:val="left"/>
      <w:pPr>
        <w:ind w:left="1134" w:hanging="283"/>
      </w:pPr>
      <w:rPr>
        <w:rFonts w:ascii="Calibri" w:hAnsi="Calibri"/>
        <w:b/>
        <w:color w:val="8B1E1E"/>
      </w:rPr>
    </w:lvl>
    <w:lvl w:ilvl="2" w:tplc="74E4B9B8">
      <w:numFmt w:val="decimal"/>
      <w:lvlText w:val=""/>
      <w:lvlJc w:val="left"/>
    </w:lvl>
    <w:lvl w:ilvl="3" w:tplc="3B242206">
      <w:numFmt w:val="decimal"/>
      <w:lvlText w:val=""/>
      <w:lvlJc w:val="left"/>
    </w:lvl>
    <w:lvl w:ilvl="4" w:tplc="CB0E7538">
      <w:numFmt w:val="decimal"/>
      <w:lvlText w:val=""/>
      <w:lvlJc w:val="left"/>
    </w:lvl>
    <w:lvl w:ilvl="5" w:tplc="69B0E558">
      <w:numFmt w:val="decimal"/>
      <w:lvlText w:val=""/>
      <w:lvlJc w:val="left"/>
    </w:lvl>
    <w:lvl w:ilvl="6" w:tplc="E90044FA">
      <w:numFmt w:val="decimal"/>
      <w:lvlText w:val=""/>
      <w:lvlJc w:val="left"/>
    </w:lvl>
    <w:lvl w:ilvl="7" w:tplc="980A489E">
      <w:numFmt w:val="decimal"/>
      <w:lvlText w:val=""/>
      <w:lvlJc w:val="left"/>
    </w:lvl>
    <w:lvl w:ilvl="8" w:tplc="3F0291FC">
      <w:numFmt w:val="decimal"/>
      <w:lvlText w:val=""/>
      <w:lvlJc w:val="left"/>
    </w:lvl>
  </w:abstractNum>
  <w:num w:numId="1" w16cid:durableId="716706540">
    <w:abstractNumId w:val="8"/>
  </w:num>
  <w:num w:numId="2" w16cid:durableId="1791392407">
    <w:abstractNumId w:val="6"/>
  </w:num>
  <w:num w:numId="3" w16cid:durableId="1691569211">
    <w:abstractNumId w:val="5"/>
  </w:num>
  <w:num w:numId="4" w16cid:durableId="862943505">
    <w:abstractNumId w:val="4"/>
  </w:num>
  <w:num w:numId="5" w16cid:durableId="398132979">
    <w:abstractNumId w:val="7"/>
  </w:num>
  <w:num w:numId="6" w16cid:durableId="2136096265">
    <w:abstractNumId w:val="3"/>
  </w:num>
  <w:num w:numId="7" w16cid:durableId="1983148335">
    <w:abstractNumId w:val="2"/>
  </w:num>
  <w:num w:numId="8" w16cid:durableId="1037582668">
    <w:abstractNumId w:val="1"/>
  </w:num>
  <w:num w:numId="9" w16cid:durableId="1610121150">
    <w:abstractNumId w:val="0"/>
  </w:num>
  <w:num w:numId="10" w16cid:durableId="78395840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3C29"/>
    <w:rsid w:val="00326F90"/>
    <w:rsid w:val="003D106D"/>
    <w:rsid w:val="004475FC"/>
    <w:rsid w:val="007D1E65"/>
    <w:rsid w:val="00A3081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33D8481-E8DD-4DE0-8307-DFB6C612D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jc w:val="both"/>
    </w:pPr>
    <w:rPr>
      <w:color w:val="2222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pBdr>
        <w:bottom w:val="single" w:sz="4" w:space="2" w:color="8B1E1E"/>
      </w:pBdr>
      <w:spacing w:before="320" w:line="240" w:lineRule="auto"/>
      <w:jc w:val="left"/>
      <w:outlineLvl w:val="0"/>
    </w:pPr>
    <w:rPr>
      <w:b/>
      <w:bCs/>
      <w:color w:val="8B1E1E"/>
      <w:sz w:val="26"/>
      <w:szCs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40" w:after="80" w:line="240" w:lineRule="auto"/>
      <w:jc w:val="left"/>
      <w:outlineLvl w:val="1"/>
    </w:pPr>
    <w:rPr>
      <w:b/>
      <w:bCs/>
      <w:color w:val="8B1E1E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</w:style>
  <w:style w:type="character" w:customStyle="1" w:styleId="Nagwek2Znak">
    <w:name w:val="Nagłówek 2 Znak"/>
    <w:basedOn w:val="Domylnaczcionkaakapitu"/>
    <w:link w:val="Nagwek2"/>
    <w:uiPriority w:val="9"/>
    <w:rsid w:val="00FC693F"/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Calibri" w:eastAsia="Calibri" w:hAnsi="Calibri" w:cs="Calibr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6" w:color="8B1E1E"/>
      </w:pBdr>
      <w:spacing w:after="160" w:line="240" w:lineRule="auto"/>
      <w:jc w:val="left"/>
    </w:pPr>
    <w:rPr>
      <w:b/>
      <w:bCs/>
      <w:spacing w:val="10"/>
      <w:kern w:val="28"/>
      <w:sz w:val="36"/>
      <w:szCs w:val="36"/>
    </w:rPr>
  </w:style>
  <w:style w:type="character" w:customStyle="1" w:styleId="TytuZnak">
    <w:name w:val="Tytuł Znak"/>
    <w:basedOn w:val="Domylnaczcionkaakapitu"/>
    <w:link w:val="Tytu"/>
    <w:uiPriority w:val="10"/>
    <w:rsid w:val="00FC693F"/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spacing w:after="240"/>
      <w:jc w:val="left"/>
    </w:pPr>
    <w:rPr>
      <w:b/>
      <w:bCs/>
      <w:color w:val="8B1E1E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alibri" w:eastAsia="Calibri" w:hAnsi="Calibri" w:cs="Calibri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Calibri" w:eastAsia="Calibri" w:hAnsi="Calibri" w:cs="Calibr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Calibri" w:eastAsia="Calibri" w:hAnsi="Calibri" w:cs="Calibr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Calibri" w:eastAsia="Calibri" w:hAnsi="Calibri" w:cs="Calibr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Calibri" w:eastAsia="Calibri" w:hAnsi="Calibri" w:cs="Calibr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Calibri" w:eastAsia="Calibri" w:hAnsi="Calibri" w:cs="Calibr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Calibri" w:eastAsia="Calibri" w:hAnsi="Calibri" w:cs="Calibr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libri" w:eastAsia="Calibri" w:hAnsi="Calibri" w:cs="Calibri"/>
        <w:b/>
        <w:bCs/>
      </w:rPr>
    </w:tblStylePr>
    <w:tblStylePr w:type="lastCol">
      <w:rPr>
        <w:rFonts w:ascii="Calibri" w:eastAsia="Calibri" w:hAnsi="Calibri" w:cs="Calibr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libri" w:eastAsia="Calibri" w:hAnsi="Calibri" w:cs="Calibr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A3081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08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gata.szwed@asprotectis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1840</Words>
  <Characters>11045</Characters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2026-10-12T08:26:00Z</dcterms:modified>
  <cp:category/>
</cp:coreProperties>
</file>